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0" w:line="384" w:lineRule="auto"/>
        <w:ind w:right="12"/>
        <w:jc w:val="left"/>
        <w:rPr>
          <w:rFonts w:hint="eastAsia" w:ascii="宋体" w:hAnsi="宋体" w:eastAsia="宋体" w:cs="宋体"/>
          <w:sz w:val="28"/>
          <w:szCs w:val="28"/>
          <w:lang w:eastAsia="zh-CN"/>
        </w:rPr>
      </w:pPr>
    </w:p>
    <w:p>
      <w:pPr>
        <w:pStyle w:val="6"/>
        <w:bidi w:val="0"/>
        <w:jc w:val="center"/>
      </w:pPr>
      <w:r>
        <w:rPr>
          <w:rFonts w:ascii="Times New Roman" w:hAnsi="Times New Roman" w:eastAsia="宋体" w:cs="Times New Roman"/>
          <w:b/>
          <w:bCs/>
          <w:sz w:val="32"/>
          <w:szCs w:val="32"/>
          <w:lang w:val="zh-CN"/>
        </w:rPr>
        <w:t>冀东水泥阿巴嘎旗有限责任公司危险废物暂存间</w:t>
      </w:r>
      <w:r>
        <w:rPr>
          <w:rFonts w:hint="eastAsia" w:ascii="Times New Roman" w:hAnsi="Times New Roman" w:eastAsia="宋体" w:cs="Times New Roman"/>
          <w:b/>
          <w:bCs/>
          <w:sz w:val="32"/>
          <w:szCs w:val="32"/>
          <w:lang w:val="zh-CN"/>
        </w:rPr>
        <w:t>（厂区）</w:t>
      </w:r>
      <w:r>
        <w:rPr>
          <w:rFonts w:ascii="Times New Roman" w:hAnsi="Times New Roman" w:eastAsia="宋体" w:cs="Times New Roman"/>
          <w:b/>
          <w:bCs/>
          <w:sz w:val="32"/>
          <w:szCs w:val="32"/>
          <w:lang w:val="zh-CN"/>
        </w:rPr>
        <w:t>建设项目</w:t>
      </w:r>
      <w:r>
        <w:t>“其他需要说明的事项”相关说明</w:t>
      </w:r>
    </w:p>
    <w:p>
      <w:pPr>
        <w:spacing w:line="237" w:lineRule="auto"/>
        <w:ind w:left="37"/>
        <w:rPr>
          <w:rFonts w:ascii="宋体" w:hAnsi="宋体" w:eastAsia="宋体" w:cs="宋体"/>
          <w:sz w:val="31"/>
          <w:szCs w:val="31"/>
        </w:rPr>
      </w:pPr>
      <w:r>
        <w:rPr>
          <w:rFonts w:ascii="Calibri" w:hAnsi="Calibri" w:eastAsia="Calibri" w:cs="Calibri"/>
          <w:b/>
          <w:bCs/>
          <w:spacing w:val="10"/>
          <w:sz w:val="31"/>
          <w:szCs w:val="31"/>
        </w:rPr>
        <w:t>1</w:t>
      </w:r>
      <w:r>
        <w:rPr>
          <w:rFonts w:ascii="宋体" w:hAnsi="宋体" w:eastAsia="宋体" w:cs="宋体"/>
          <w:spacing w:val="10"/>
          <w:sz w:val="31"/>
          <w:szCs w:val="31"/>
          <w14:textOutline w14:w="5791" w14:cap="flat" w14:cmpd="sng">
            <w14:solidFill>
              <w14:srgbClr w14:val="000000"/>
            </w14:solidFill>
            <w14:prstDash w14:val="solid"/>
            <w14:miter w14:val="0"/>
          </w14:textOutline>
        </w:rPr>
        <w:t>、</w:t>
      </w:r>
      <w:r>
        <w:rPr>
          <w:rFonts w:ascii="宋体" w:hAnsi="宋体" w:eastAsia="宋体" w:cs="宋体"/>
          <w:spacing w:val="6"/>
          <w:sz w:val="31"/>
          <w:szCs w:val="31"/>
          <w14:textOutline w14:w="5791" w14:cap="flat" w14:cmpd="sng">
            <w14:solidFill>
              <w14:srgbClr w14:val="000000"/>
            </w14:solidFill>
            <w14:prstDash w14:val="solid"/>
            <w14:miter w14:val="0"/>
          </w14:textOutline>
        </w:rPr>
        <w:t>环</w:t>
      </w:r>
      <w:r>
        <w:rPr>
          <w:rFonts w:ascii="宋体" w:hAnsi="宋体" w:eastAsia="宋体" w:cs="宋体"/>
          <w:spacing w:val="5"/>
          <w:sz w:val="31"/>
          <w:szCs w:val="31"/>
          <w14:textOutline w14:w="5791" w14:cap="flat" w14:cmpd="sng">
            <w14:solidFill>
              <w14:srgbClr w14:val="000000"/>
            </w14:solidFill>
            <w14:prstDash w14:val="solid"/>
            <w14:miter w14:val="0"/>
          </w14:textOutline>
        </w:rPr>
        <w:t>境保护设施设计、施工和验收过程简况</w:t>
      </w:r>
    </w:p>
    <w:p>
      <w:pPr>
        <w:keepNext w:val="0"/>
        <w:keepLines w:val="0"/>
        <w:pageBreakBefore w:val="0"/>
        <w:widowControl/>
        <w:kinsoku w:val="0"/>
        <w:wordWrap/>
        <w:overflowPunct/>
        <w:topLinePunct w:val="0"/>
        <w:autoSpaceDE w:val="0"/>
        <w:autoSpaceDN w:val="0"/>
        <w:bidi w:val="0"/>
        <w:adjustRightInd w:val="0"/>
        <w:snapToGrid w:val="0"/>
        <w:spacing w:before="247" w:line="360" w:lineRule="auto"/>
        <w:ind w:left="34"/>
        <w:textAlignment w:val="baseline"/>
        <w:rPr>
          <w:rFonts w:ascii="黑体" w:hAnsi="黑体" w:eastAsia="黑体" w:cs="黑体"/>
          <w:sz w:val="28"/>
          <w:szCs w:val="28"/>
        </w:rPr>
      </w:pPr>
      <w:r>
        <w:rPr>
          <w:rFonts w:ascii="Arial" w:hAnsi="Arial" w:eastAsia="Arial" w:cs="Arial"/>
          <w:b/>
          <w:bCs/>
          <w:spacing w:val="-5"/>
          <w:sz w:val="28"/>
          <w:szCs w:val="28"/>
        </w:rPr>
        <w:t>1</w:t>
      </w:r>
      <w:r>
        <w:rPr>
          <w:rFonts w:ascii="Arial" w:hAnsi="Arial" w:eastAsia="Arial" w:cs="Arial"/>
          <w:b/>
          <w:bCs/>
          <w:spacing w:val="-3"/>
          <w:sz w:val="28"/>
          <w:szCs w:val="28"/>
        </w:rPr>
        <w:t>.1</w:t>
      </w:r>
      <w:bookmarkStart w:id="0" w:name="_GoBack"/>
      <w:bookmarkEnd w:id="0"/>
      <w:r>
        <w:rPr>
          <w:rFonts w:hint="eastAsia" w:ascii="黑体" w:hAnsi="黑体" w:eastAsia="黑体" w:cs="黑体"/>
          <w:spacing w:val="-3"/>
          <w:sz w:val="28"/>
          <w:szCs w:val="28"/>
          <w:lang w:eastAsia="zh-CN"/>
          <w14:textOutline w14:w="5094" w14:cap="flat" w14:cmpd="sng">
            <w14:solidFill>
              <w14:srgbClr w14:val="000000"/>
            </w14:solidFill>
            <w14:prstDash w14:val="solid"/>
            <w14:miter w14:val="0"/>
          </w14:textOutline>
        </w:rPr>
        <w:t>项目建设</w:t>
      </w:r>
      <w:r>
        <w:rPr>
          <w:rFonts w:ascii="黑体" w:hAnsi="黑体" w:eastAsia="黑体" w:cs="黑体"/>
          <w:spacing w:val="-3"/>
          <w:sz w:val="28"/>
          <w:szCs w:val="28"/>
          <w14:textOutline w14:w="5094" w14:cap="flat" w14:cmpd="sng">
            <w14:solidFill>
              <w14:srgbClr w14:val="000000"/>
            </w14:solidFill>
            <w14:prstDash w14:val="solid"/>
            <w14:miter w14:val="0"/>
          </w14:textOutline>
        </w:rPr>
        <w:t>简况</w:t>
      </w:r>
    </w:p>
    <w:p>
      <w:pPr>
        <w:pStyle w:val="7"/>
        <w:keepNext w:val="0"/>
        <w:keepLines w:val="0"/>
        <w:pageBreakBefore w:val="0"/>
        <w:widowControl/>
        <w:kinsoku w:val="0"/>
        <w:wordWrap/>
        <w:overflowPunct/>
        <w:topLinePunct w:val="0"/>
        <w:autoSpaceDE w:val="0"/>
        <w:autoSpaceDN w:val="0"/>
        <w:bidi w:val="0"/>
        <w:adjustRightInd w:val="0"/>
        <w:snapToGrid w:val="0"/>
        <w:spacing w:before="0" w:after="0" w:line="360" w:lineRule="auto"/>
        <w:ind w:left="0" w:right="0" w:firstLine="444" w:firstLineChars="200"/>
        <w:jc w:val="both"/>
        <w:textAlignment w:val="baseline"/>
        <w:rPr>
          <w:rFonts w:ascii="宋体" w:hAnsi="宋体" w:eastAsia="宋体" w:cs="宋体"/>
          <w:snapToGrid w:val="0"/>
          <w:color w:val="000000"/>
          <w:spacing w:val="-9"/>
          <w:kern w:val="0"/>
          <w:sz w:val="24"/>
          <w:szCs w:val="24"/>
        </w:rPr>
      </w:pPr>
      <w:r>
        <w:rPr>
          <w:rFonts w:ascii="宋体" w:hAnsi="宋体" w:eastAsia="宋体" w:cs="宋体"/>
          <w:snapToGrid w:val="0"/>
          <w:color w:val="000000"/>
          <w:spacing w:val="-9"/>
          <w:kern w:val="0"/>
          <w:sz w:val="24"/>
          <w:szCs w:val="24"/>
        </w:rPr>
        <w:t>本项目拟建于冀东水泥阿巴嘎旗有限责任公司厂区内，无新增占地，占地面积33.8m</w:t>
      </w:r>
      <w:r>
        <w:rPr>
          <w:rFonts w:ascii="宋体" w:hAnsi="宋体" w:eastAsia="宋体" w:cs="宋体"/>
          <w:snapToGrid w:val="0"/>
          <w:color w:val="000000"/>
          <w:spacing w:val="-9"/>
          <w:kern w:val="0"/>
          <w:sz w:val="24"/>
          <w:szCs w:val="24"/>
          <w:vertAlign w:val="superscript"/>
        </w:rPr>
        <w:t>2</w:t>
      </w:r>
      <w:r>
        <w:rPr>
          <w:rFonts w:ascii="宋体" w:hAnsi="宋体" w:eastAsia="宋体" w:cs="宋体"/>
          <w:snapToGrid w:val="0"/>
          <w:color w:val="000000"/>
          <w:spacing w:val="-9"/>
          <w:kern w:val="0"/>
          <w:sz w:val="24"/>
          <w:szCs w:val="24"/>
        </w:rPr>
        <w:t>，建设规格为长6.5m×宽5.2m×高3m，项目设计最大暂存量为废油桶0.4t、废矿物油2t、废漆桶0.2t、实验废液及包装物0.4t、废电池0.32t、废电容0.75t、废机油滤芯0.04t、废活性炭0.4t。危险废物暂存间内地面采用地面水泥基础防渗+2mm厚高密度聚乙烯（HDPE）材料防渗，并设置环氧树脂防腐，渗透系数≤10</w:t>
      </w:r>
      <w:r>
        <w:rPr>
          <w:rFonts w:ascii="宋体" w:hAnsi="宋体" w:eastAsia="宋体" w:cs="宋体"/>
          <w:snapToGrid w:val="0"/>
          <w:color w:val="000000"/>
          <w:spacing w:val="-9"/>
          <w:kern w:val="0"/>
          <w:sz w:val="24"/>
          <w:szCs w:val="24"/>
          <w:vertAlign w:val="superscript"/>
        </w:rPr>
        <w:t>-10</w:t>
      </w:r>
      <w:r>
        <w:rPr>
          <w:rFonts w:ascii="宋体" w:hAnsi="宋体" w:eastAsia="宋体" w:cs="宋体"/>
          <w:snapToGrid w:val="0"/>
          <w:color w:val="000000"/>
          <w:spacing w:val="-9"/>
          <w:kern w:val="0"/>
          <w:sz w:val="24"/>
          <w:szCs w:val="24"/>
        </w:rPr>
        <w:t>cm/s，危险废物暂存间内设置导流槽和</w:t>
      </w:r>
      <w:r>
        <w:rPr>
          <w:rFonts w:hint="eastAsia" w:ascii="宋体" w:hAnsi="宋体" w:eastAsia="宋体" w:cs="宋体"/>
          <w:snapToGrid w:val="0"/>
          <w:color w:val="000000"/>
          <w:spacing w:val="-9"/>
          <w:kern w:val="0"/>
          <w:sz w:val="24"/>
          <w:szCs w:val="24"/>
          <w:lang w:eastAsia="zh-CN"/>
        </w:rPr>
        <w:t>收集池</w:t>
      </w:r>
      <w:r>
        <w:rPr>
          <w:rFonts w:ascii="宋体" w:hAnsi="宋体" w:eastAsia="宋体" w:cs="宋体"/>
          <w:snapToGrid w:val="0"/>
          <w:color w:val="000000"/>
          <w:spacing w:val="-9"/>
          <w:kern w:val="0"/>
          <w:sz w:val="24"/>
          <w:szCs w:val="24"/>
        </w:rPr>
        <w:t>，用来收集危险废物暂存间内渗漏液，内部设置隔断隔离，危险废物在危废间内分区分类存放。</w:t>
      </w:r>
    </w:p>
    <w:p>
      <w:pPr>
        <w:spacing w:before="40" w:line="219" w:lineRule="auto"/>
        <w:ind w:left="36"/>
        <w:outlineLvl w:val="0"/>
        <w:rPr>
          <w:rFonts w:ascii="黑体" w:hAnsi="黑体" w:eastAsia="黑体" w:cs="黑体"/>
          <w:sz w:val="28"/>
          <w:szCs w:val="28"/>
        </w:rPr>
      </w:pPr>
      <w:r>
        <w:rPr>
          <w:rFonts w:ascii="Arial" w:hAnsi="Arial" w:eastAsia="Arial" w:cs="Arial"/>
          <w:b/>
          <w:bCs/>
          <w:spacing w:val="-4"/>
          <w:sz w:val="28"/>
          <w:szCs w:val="28"/>
        </w:rPr>
        <w:t>1.</w:t>
      </w:r>
      <w:r>
        <w:rPr>
          <w:rFonts w:hint="eastAsia" w:eastAsia="宋体" w:cs="Arial"/>
          <w:b/>
          <w:bCs/>
          <w:spacing w:val="-2"/>
          <w:sz w:val="28"/>
          <w:szCs w:val="28"/>
          <w:lang w:val="en-US" w:eastAsia="zh-CN"/>
        </w:rPr>
        <w:t>2</w:t>
      </w:r>
      <w:r>
        <w:rPr>
          <w:rFonts w:ascii="黑体" w:hAnsi="黑体" w:eastAsia="黑体" w:cs="黑体"/>
          <w:spacing w:val="-2"/>
          <w:sz w:val="28"/>
          <w:szCs w:val="28"/>
          <w14:textOutline w14:w="5094" w14:cap="flat" w14:cmpd="sng">
            <w14:solidFill>
              <w14:srgbClr w14:val="000000"/>
            </w14:solidFill>
            <w14:prstDash w14:val="solid"/>
            <w14:miter w14:val="0"/>
          </w14:textOutline>
        </w:rPr>
        <w:t>验收过程简况</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both"/>
        <w:textAlignment w:val="baseline"/>
        <w:rPr>
          <w:rFonts w:ascii="宋体" w:hAnsi="宋体" w:eastAsia="宋体" w:cs="宋体"/>
          <w:spacing w:val="-9"/>
          <w:sz w:val="24"/>
          <w:szCs w:val="24"/>
        </w:rPr>
      </w:pPr>
      <w:r>
        <w:rPr>
          <w:rFonts w:hint="eastAsia" w:ascii="宋体" w:hAnsi="宋体" w:eastAsia="宋体" w:cs="宋体"/>
          <w:spacing w:val="-9"/>
          <w:sz w:val="24"/>
          <w:szCs w:val="24"/>
          <w:lang w:eastAsia="zh-CN"/>
        </w:rPr>
        <w:t>锡林郭勒</w:t>
      </w:r>
      <w:r>
        <w:rPr>
          <w:rFonts w:ascii="宋体" w:hAnsi="宋体" w:eastAsia="宋体" w:cs="宋体"/>
          <w:spacing w:val="-9"/>
          <w:sz w:val="24"/>
          <w:szCs w:val="24"/>
        </w:rPr>
        <w:t>生态环境局于20</w:t>
      </w:r>
      <w:r>
        <w:rPr>
          <w:rFonts w:hint="eastAsia" w:ascii="宋体" w:hAnsi="宋体" w:eastAsia="宋体" w:cs="宋体"/>
          <w:spacing w:val="-9"/>
          <w:sz w:val="24"/>
          <w:szCs w:val="24"/>
          <w:lang w:val="en-US" w:eastAsia="zh-CN"/>
        </w:rPr>
        <w:t>21</w:t>
      </w:r>
      <w:r>
        <w:rPr>
          <w:rFonts w:ascii="宋体" w:hAnsi="宋体" w:eastAsia="宋体" w:cs="宋体"/>
          <w:spacing w:val="-9"/>
          <w:sz w:val="24"/>
          <w:szCs w:val="24"/>
        </w:rPr>
        <w:t>年</w:t>
      </w:r>
      <w:r>
        <w:rPr>
          <w:rFonts w:hint="eastAsia" w:ascii="宋体" w:hAnsi="宋体" w:eastAsia="宋体" w:cs="宋体"/>
          <w:spacing w:val="-9"/>
          <w:sz w:val="24"/>
          <w:szCs w:val="24"/>
          <w:lang w:val="en-US" w:eastAsia="zh-CN"/>
        </w:rPr>
        <w:t>11</w:t>
      </w:r>
      <w:r>
        <w:rPr>
          <w:rFonts w:ascii="宋体" w:hAnsi="宋体" w:eastAsia="宋体" w:cs="宋体"/>
          <w:spacing w:val="-9"/>
          <w:sz w:val="24"/>
          <w:szCs w:val="24"/>
        </w:rPr>
        <w:t>月</w:t>
      </w:r>
      <w:r>
        <w:rPr>
          <w:rFonts w:hint="eastAsia" w:ascii="宋体" w:hAnsi="宋体" w:eastAsia="宋体" w:cs="宋体"/>
          <w:spacing w:val="-9"/>
          <w:sz w:val="24"/>
          <w:szCs w:val="24"/>
          <w:lang w:val="en-US" w:eastAsia="zh-CN"/>
        </w:rPr>
        <w:t>3</w:t>
      </w:r>
      <w:r>
        <w:rPr>
          <w:rFonts w:ascii="宋体" w:hAnsi="宋体" w:eastAsia="宋体" w:cs="宋体"/>
          <w:spacing w:val="-9"/>
          <w:sz w:val="24"/>
          <w:szCs w:val="24"/>
        </w:rPr>
        <w:t>日以</w:t>
      </w:r>
      <w:r>
        <w:rPr>
          <w:rFonts w:hint="eastAsia" w:ascii="宋体" w:hAnsi="宋体" w:eastAsia="宋体" w:cs="宋体"/>
          <w:spacing w:val="-9"/>
          <w:sz w:val="24"/>
          <w:szCs w:val="24"/>
          <w:lang w:eastAsia="zh-CN"/>
        </w:rPr>
        <w:t>阿环审表</w:t>
      </w:r>
      <w:r>
        <w:rPr>
          <w:rFonts w:ascii="宋体" w:hAnsi="宋体" w:eastAsia="宋体" w:cs="宋体"/>
          <w:spacing w:val="-9"/>
          <w:sz w:val="24"/>
          <w:szCs w:val="24"/>
        </w:rPr>
        <w:t>【20</w:t>
      </w:r>
      <w:r>
        <w:rPr>
          <w:rFonts w:hint="eastAsia" w:ascii="宋体" w:hAnsi="宋体" w:eastAsia="宋体" w:cs="宋体"/>
          <w:spacing w:val="-9"/>
          <w:sz w:val="24"/>
          <w:szCs w:val="24"/>
          <w:lang w:val="en-US" w:eastAsia="zh-CN"/>
        </w:rPr>
        <w:t>21</w:t>
      </w:r>
      <w:r>
        <w:rPr>
          <w:rFonts w:ascii="宋体" w:hAnsi="宋体" w:eastAsia="宋体" w:cs="宋体"/>
          <w:spacing w:val="-9"/>
          <w:sz w:val="24"/>
          <w:szCs w:val="24"/>
        </w:rPr>
        <w:t>】</w:t>
      </w:r>
      <w:r>
        <w:rPr>
          <w:rFonts w:hint="eastAsia" w:ascii="宋体" w:hAnsi="宋体" w:eastAsia="宋体" w:cs="宋体"/>
          <w:spacing w:val="-9"/>
          <w:sz w:val="24"/>
          <w:szCs w:val="24"/>
          <w:lang w:val="en-US" w:eastAsia="zh-CN"/>
        </w:rPr>
        <w:t>23</w:t>
      </w:r>
      <w:r>
        <w:rPr>
          <w:rFonts w:ascii="宋体" w:hAnsi="宋体" w:eastAsia="宋体" w:cs="宋体"/>
          <w:spacing w:val="-9"/>
          <w:sz w:val="24"/>
          <w:szCs w:val="24"/>
        </w:rPr>
        <w:t>号文件对本项目环评报告表进行了批复。项目于202</w:t>
      </w:r>
      <w:r>
        <w:rPr>
          <w:rFonts w:hint="eastAsia" w:ascii="宋体" w:hAnsi="宋体" w:eastAsia="宋体" w:cs="宋体"/>
          <w:spacing w:val="-9"/>
          <w:sz w:val="24"/>
          <w:szCs w:val="24"/>
          <w:lang w:val="en-US" w:eastAsia="zh-CN"/>
        </w:rPr>
        <w:t>1</w:t>
      </w:r>
      <w:r>
        <w:rPr>
          <w:rFonts w:ascii="宋体" w:hAnsi="宋体" w:eastAsia="宋体" w:cs="宋体"/>
          <w:spacing w:val="-9"/>
          <w:sz w:val="24"/>
          <w:szCs w:val="24"/>
        </w:rPr>
        <w:t>年</w:t>
      </w:r>
      <w:r>
        <w:rPr>
          <w:rFonts w:hint="eastAsia" w:ascii="宋体" w:hAnsi="宋体" w:eastAsia="宋体" w:cs="宋体"/>
          <w:spacing w:val="-9"/>
          <w:sz w:val="24"/>
          <w:szCs w:val="24"/>
          <w:lang w:val="en-US" w:eastAsia="zh-CN"/>
        </w:rPr>
        <w:t>1</w:t>
      </w:r>
      <w:r>
        <w:rPr>
          <w:rFonts w:ascii="宋体" w:hAnsi="宋体" w:eastAsia="宋体" w:cs="宋体"/>
          <w:spacing w:val="-9"/>
          <w:sz w:val="24"/>
          <w:szCs w:val="24"/>
        </w:rPr>
        <w:t>月</w:t>
      </w:r>
      <w:r>
        <w:rPr>
          <w:rFonts w:hint="eastAsia" w:ascii="宋体" w:hAnsi="宋体" w:eastAsia="宋体" w:cs="宋体"/>
          <w:spacing w:val="-9"/>
          <w:sz w:val="24"/>
          <w:szCs w:val="24"/>
          <w:lang w:eastAsia="zh-CN"/>
        </w:rPr>
        <w:t>开工</w:t>
      </w:r>
      <w:r>
        <w:rPr>
          <w:rFonts w:ascii="宋体" w:hAnsi="宋体" w:eastAsia="宋体" w:cs="宋体"/>
          <w:spacing w:val="-9"/>
          <w:sz w:val="24"/>
          <w:szCs w:val="24"/>
        </w:rPr>
        <w:t>建设，冀东水泥阿巴嘎旗有限责任公司根据《关于修改&lt;建设项目环境保护管理条例&gt;的决定》（国务院令第682号，2017年07月16日），《建设项目竣工环境保护验收管理暂行办法》(国环规环</w:t>
      </w:r>
      <w:r>
        <w:rPr>
          <w:rFonts w:hint="eastAsia" w:ascii="宋体" w:hAnsi="宋体" w:eastAsia="宋体" w:cs="宋体"/>
          <w:spacing w:val="-9"/>
          <w:sz w:val="24"/>
          <w:szCs w:val="24"/>
          <w:lang w:eastAsia="zh-CN"/>
        </w:rPr>
        <w:t>评</w:t>
      </w:r>
      <w:r>
        <w:rPr>
          <w:rFonts w:ascii="宋体" w:hAnsi="宋体" w:eastAsia="宋体" w:cs="宋体"/>
          <w:spacing w:val="-9"/>
          <w:sz w:val="24"/>
          <w:szCs w:val="24"/>
        </w:rPr>
        <w:t>[2017]4号)中有关规定，委托博思百睿检测评价技术服务有限公司对该项目实施竣工环境保护验收。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8" w:firstLineChars="200"/>
        <w:jc w:val="both"/>
        <w:textAlignment w:val="baseline"/>
        <w:rPr>
          <w:rFonts w:ascii="宋体" w:hAnsi="宋体" w:eastAsia="宋体" w:cs="宋体"/>
          <w:spacing w:val="-3"/>
          <w:sz w:val="24"/>
          <w:szCs w:val="24"/>
        </w:rPr>
      </w:pPr>
      <w:r>
        <w:rPr>
          <w:rFonts w:ascii="宋体" w:hAnsi="宋体" w:eastAsia="宋体" w:cs="宋体"/>
          <w:spacing w:val="-3"/>
          <w:sz w:val="24"/>
          <w:szCs w:val="24"/>
        </w:rPr>
        <w:t>验收调查单位于20</w:t>
      </w:r>
      <w:r>
        <w:rPr>
          <w:rFonts w:hint="eastAsia" w:ascii="宋体" w:hAnsi="宋体" w:eastAsia="宋体" w:cs="宋体"/>
          <w:spacing w:val="-3"/>
          <w:sz w:val="24"/>
          <w:szCs w:val="24"/>
          <w:lang w:val="en-US" w:eastAsia="zh-CN"/>
        </w:rPr>
        <w:t>21</w:t>
      </w:r>
      <w:r>
        <w:rPr>
          <w:rFonts w:ascii="宋体" w:hAnsi="宋体" w:eastAsia="宋体" w:cs="宋体"/>
          <w:spacing w:val="-3"/>
          <w:sz w:val="24"/>
          <w:szCs w:val="24"/>
        </w:rPr>
        <w:t>年</w:t>
      </w:r>
      <w:r>
        <w:rPr>
          <w:rFonts w:hint="eastAsia" w:ascii="宋体" w:hAnsi="宋体" w:eastAsia="宋体" w:cs="宋体"/>
          <w:spacing w:val="-3"/>
          <w:sz w:val="24"/>
          <w:szCs w:val="24"/>
          <w:lang w:val="en-US" w:eastAsia="zh-CN"/>
        </w:rPr>
        <w:t>7</w:t>
      </w:r>
      <w:r>
        <w:rPr>
          <w:rFonts w:ascii="宋体" w:hAnsi="宋体" w:eastAsia="宋体" w:cs="宋体"/>
          <w:spacing w:val="-3"/>
          <w:sz w:val="24"/>
          <w:szCs w:val="24"/>
        </w:rPr>
        <w:t>月</w:t>
      </w:r>
      <w:r>
        <w:rPr>
          <w:rFonts w:hint="eastAsia" w:ascii="宋体" w:hAnsi="宋体" w:eastAsia="宋体" w:cs="宋体"/>
          <w:spacing w:val="-3"/>
          <w:sz w:val="24"/>
          <w:szCs w:val="24"/>
          <w:lang w:val="en-US" w:eastAsia="zh-CN"/>
        </w:rPr>
        <w:t>28</w:t>
      </w:r>
      <w:r>
        <w:rPr>
          <w:rFonts w:ascii="宋体" w:hAnsi="宋体" w:eastAsia="宋体" w:cs="宋体"/>
          <w:spacing w:val="-3"/>
          <w:sz w:val="24"/>
          <w:szCs w:val="24"/>
        </w:rPr>
        <w:t>日接受委托，于202</w:t>
      </w:r>
      <w:r>
        <w:rPr>
          <w:rFonts w:hint="eastAsia" w:ascii="宋体" w:hAnsi="宋体" w:eastAsia="宋体" w:cs="宋体"/>
          <w:spacing w:val="-3"/>
          <w:sz w:val="24"/>
          <w:szCs w:val="24"/>
          <w:lang w:val="en-US" w:eastAsia="zh-CN"/>
        </w:rPr>
        <w:t>2</w:t>
      </w:r>
      <w:r>
        <w:rPr>
          <w:rFonts w:ascii="宋体" w:hAnsi="宋体" w:eastAsia="宋体" w:cs="宋体"/>
          <w:spacing w:val="-3"/>
          <w:sz w:val="24"/>
          <w:szCs w:val="24"/>
        </w:rPr>
        <w:t>年</w:t>
      </w:r>
      <w:r>
        <w:rPr>
          <w:rFonts w:hint="eastAsia" w:ascii="宋体" w:hAnsi="宋体" w:eastAsia="宋体" w:cs="宋体"/>
          <w:spacing w:val="-3"/>
          <w:sz w:val="24"/>
          <w:szCs w:val="24"/>
          <w:lang w:val="en-US" w:eastAsia="zh-CN"/>
        </w:rPr>
        <w:t>1</w:t>
      </w:r>
      <w:r>
        <w:rPr>
          <w:rFonts w:ascii="宋体" w:hAnsi="宋体" w:eastAsia="宋体" w:cs="宋体"/>
          <w:spacing w:val="-3"/>
          <w:sz w:val="24"/>
          <w:szCs w:val="24"/>
        </w:rPr>
        <w:t>月对项目建设情况进行调查，查阅相关技术资料，并在此基础上编制完成了本项目竣工环境保护验收调查报告表。20</w:t>
      </w:r>
      <w:r>
        <w:rPr>
          <w:rFonts w:hint="eastAsia" w:ascii="宋体" w:hAnsi="宋体" w:eastAsia="宋体" w:cs="宋体"/>
          <w:spacing w:val="-3"/>
          <w:sz w:val="24"/>
          <w:szCs w:val="24"/>
          <w:lang w:val="en-US" w:eastAsia="zh-CN"/>
        </w:rPr>
        <w:t>22</w:t>
      </w:r>
      <w:r>
        <w:rPr>
          <w:rFonts w:ascii="宋体" w:hAnsi="宋体" w:eastAsia="宋体" w:cs="宋体"/>
          <w:spacing w:val="-3"/>
          <w:sz w:val="24"/>
          <w:szCs w:val="24"/>
        </w:rPr>
        <w:t>年9月28日，</w:t>
      </w:r>
      <w:r>
        <w:rPr>
          <w:rFonts w:ascii="宋体" w:hAnsi="宋体" w:eastAsia="宋体" w:cs="宋体"/>
          <w:snapToGrid w:val="0"/>
          <w:color w:val="000000"/>
          <w:spacing w:val="-6"/>
          <w:kern w:val="0"/>
          <w:sz w:val="24"/>
          <w:szCs w:val="24"/>
        </w:rPr>
        <w:t>冀东水泥阿巴嘎旗有限责任公司</w:t>
      </w:r>
      <w:r>
        <w:rPr>
          <w:rFonts w:ascii="宋体" w:hAnsi="宋体" w:eastAsia="宋体" w:cs="宋体"/>
          <w:spacing w:val="-3"/>
          <w:sz w:val="24"/>
          <w:szCs w:val="24"/>
        </w:rPr>
        <w:t>组织对本项目进行竣工环境保护验收，验收工作组同意该项目环境保护设施通过竣工环境保护验收，并出具了《冀东水泥阿巴嘎旗有限责任公司危险废物暂存间建设项目（</w:t>
      </w:r>
      <w:r>
        <w:rPr>
          <w:rFonts w:hint="eastAsia" w:ascii="宋体" w:hAnsi="宋体" w:eastAsia="宋体" w:cs="宋体"/>
          <w:spacing w:val="-3"/>
          <w:sz w:val="24"/>
          <w:szCs w:val="24"/>
          <w:lang w:eastAsia="zh-CN"/>
        </w:rPr>
        <w:t>厂区</w:t>
      </w:r>
      <w:r>
        <w:rPr>
          <w:rFonts w:ascii="宋体" w:hAnsi="宋体" w:eastAsia="宋体" w:cs="宋体"/>
          <w:spacing w:val="-3"/>
          <w:sz w:val="24"/>
          <w:szCs w:val="24"/>
        </w:rPr>
        <w:t>）竣工环境保护验收意见》。</w:t>
      </w:r>
    </w:p>
    <w:p>
      <w:pPr>
        <w:spacing w:before="16" w:line="645" w:lineRule="exact"/>
        <w:ind w:left="28"/>
        <w:rPr>
          <w:rFonts w:ascii="宋体" w:hAnsi="宋体" w:eastAsia="宋体" w:cs="宋体"/>
          <w:sz w:val="31"/>
          <w:szCs w:val="31"/>
        </w:rPr>
      </w:pPr>
      <w:r>
        <w:rPr>
          <w:rFonts w:ascii="Calibri" w:hAnsi="Calibri" w:eastAsia="Calibri" w:cs="Calibri"/>
          <w:b/>
          <w:bCs/>
          <w:spacing w:val="8"/>
          <w:position w:val="26"/>
          <w:sz w:val="31"/>
          <w:szCs w:val="31"/>
        </w:rPr>
        <w:t>2</w:t>
      </w:r>
      <w:r>
        <w:rPr>
          <w:rFonts w:ascii="宋体" w:hAnsi="宋体" w:eastAsia="宋体" w:cs="宋体"/>
          <w:spacing w:val="7"/>
          <w:position w:val="26"/>
          <w:sz w:val="31"/>
          <w:szCs w:val="31"/>
          <w14:textOutline w14:w="5791" w14:cap="flat" w14:cmpd="sng">
            <w14:solidFill>
              <w14:srgbClr w14:val="000000"/>
            </w14:solidFill>
            <w14:prstDash w14:val="solid"/>
            <w14:miter w14:val="0"/>
          </w14:textOutline>
        </w:rPr>
        <w:t>、</w:t>
      </w:r>
      <w:r>
        <w:rPr>
          <w:rFonts w:ascii="宋体" w:hAnsi="宋体" w:eastAsia="宋体" w:cs="宋体"/>
          <w:spacing w:val="4"/>
          <w:position w:val="26"/>
          <w:sz w:val="31"/>
          <w:szCs w:val="31"/>
          <w14:textOutline w14:w="5791" w14:cap="flat" w14:cmpd="sng">
            <w14:solidFill>
              <w14:srgbClr w14:val="000000"/>
            </w14:solidFill>
            <w14:prstDash w14:val="solid"/>
            <w14:miter w14:val="0"/>
          </w14:textOutline>
        </w:rPr>
        <w:t>其他环境保护措施的落实情况</w:t>
      </w:r>
    </w:p>
    <w:p>
      <w:pPr>
        <w:spacing w:line="220" w:lineRule="auto"/>
        <w:ind w:left="21"/>
        <w:rPr>
          <w:rFonts w:ascii="黑体" w:hAnsi="黑体" w:eastAsia="黑体" w:cs="黑体"/>
          <w:sz w:val="28"/>
          <w:szCs w:val="28"/>
        </w:rPr>
      </w:pPr>
      <w:r>
        <w:rPr>
          <w:rFonts w:ascii="Arial" w:hAnsi="Arial" w:eastAsia="Arial" w:cs="Arial"/>
          <w:b/>
          <w:bCs/>
          <w:spacing w:val="-1"/>
          <w:sz w:val="28"/>
          <w:szCs w:val="28"/>
        </w:rPr>
        <w:t>2.1</w:t>
      </w:r>
      <w:r>
        <w:rPr>
          <w:rFonts w:ascii="黑体" w:hAnsi="黑体" w:eastAsia="黑体" w:cs="黑体"/>
          <w:spacing w:val="-1"/>
          <w:sz w:val="28"/>
          <w:szCs w:val="28"/>
          <w14:textOutline w14:w="5094" w14:cap="flat" w14:cmpd="sng">
            <w14:solidFill>
              <w14:srgbClr w14:val="000000"/>
            </w14:solidFill>
            <w14:prstDash w14:val="solid"/>
            <w14:miter w14:val="0"/>
          </w14:textOutline>
        </w:rPr>
        <w:t>制度措施</w:t>
      </w:r>
      <w:r>
        <w:rPr>
          <w:rFonts w:ascii="黑体" w:hAnsi="黑体" w:eastAsia="黑体" w:cs="黑体"/>
          <w:sz w:val="28"/>
          <w:szCs w:val="28"/>
          <w14:textOutline w14:w="5094" w14:cap="flat" w14:cmpd="sng">
            <w14:solidFill>
              <w14:srgbClr w14:val="000000"/>
            </w14:solidFill>
            <w14:prstDash w14:val="solid"/>
            <w14:miter w14:val="0"/>
          </w14:textOutline>
        </w:rPr>
        <w:t>落实情况</w:t>
      </w:r>
    </w:p>
    <w:p>
      <w:pPr>
        <w:spacing w:before="231" w:line="220" w:lineRule="auto"/>
        <w:ind w:left="523"/>
        <w:outlineLvl w:val="1"/>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1、施工期</w:t>
      </w:r>
      <w:r>
        <w:rPr>
          <w:rFonts w:ascii="宋体" w:hAnsi="宋体" w:eastAsia="宋体" w:cs="宋体"/>
          <w:spacing w:val="-1"/>
          <w:sz w:val="24"/>
          <w:szCs w:val="24"/>
          <w14:textOutline w14:w="4354" w14:cap="flat" w14:cmpd="sng">
            <w14:solidFill>
              <w14:srgbClr w14:val="000000"/>
            </w14:solidFill>
            <w14:prstDash w14:val="solid"/>
            <w14:miter w14:val="0"/>
          </w14:textOutline>
        </w:rPr>
        <w:t>环境管理和监督</w:t>
      </w:r>
    </w:p>
    <w:p>
      <w:pPr>
        <w:spacing w:before="122" w:line="360" w:lineRule="auto"/>
        <w:ind w:left="125" w:right="116" w:firstLine="483"/>
        <w:rPr>
          <w:rFonts w:ascii="宋体" w:hAnsi="宋体" w:eastAsia="宋体" w:cs="宋体"/>
          <w:sz w:val="24"/>
          <w:szCs w:val="24"/>
        </w:rPr>
      </w:pPr>
      <w:r>
        <w:rPr>
          <w:rFonts w:ascii="宋体" w:hAnsi="宋体" w:eastAsia="宋体" w:cs="宋体"/>
          <w:spacing w:val="6"/>
          <w:sz w:val="24"/>
          <w:szCs w:val="24"/>
        </w:rPr>
        <w:t>(1)要求：</w:t>
      </w:r>
      <w:r>
        <w:rPr>
          <w:rFonts w:ascii="宋体" w:hAnsi="宋体" w:eastAsia="宋体" w:cs="宋体"/>
          <w:spacing w:val="3"/>
          <w:sz w:val="24"/>
          <w:szCs w:val="24"/>
        </w:rPr>
        <w:t>本工程施工单位应按建设单位要求制定所采取的环境管理和监</w:t>
      </w:r>
      <w:r>
        <w:rPr>
          <w:rFonts w:ascii="宋体" w:hAnsi="宋体" w:eastAsia="宋体" w:cs="宋体"/>
          <w:spacing w:val="-6"/>
          <w:sz w:val="24"/>
          <w:szCs w:val="24"/>
        </w:rPr>
        <w:t>督</w:t>
      </w:r>
      <w:r>
        <w:rPr>
          <w:rFonts w:ascii="宋体" w:hAnsi="宋体" w:eastAsia="宋体" w:cs="宋体"/>
          <w:spacing w:val="-3"/>
          <w:sz w:val="24"/>
          <w:szCs w:val="24"/>
        </w:rPr>
        <w:t>措施，注意</w:t>
      </w:r>
      <w:r>
        <w:rPr>
          <w:rFonts w:hint="default" w:ascii="宋体" w:hAnsi="宋体" w:eastAsia="宋体" w:cs="宋体"/>
          <w:spacing w:val="-6"/>
          <w:sz w:val="24"/>
          <w:szCs w:val="24"/>
        </w:rPr>
        <w:t>危险废物的暂存及处置工作</w:t>
      </w:r>
      <w:r>
        <w:rPr>
          <w:rFonts w:ascii="宋体" w:hAnsi="宋体" w:eastAsia="宋体" w:cs="宋体"/>
          <w:spacing w:val="-3"/>
          <w:sz w:val="24"/>
          <w:szCs w:val="24"/>
        </w:rPr>
        <w:t>；本工程工程管理部门应设置专门人员进行检</w:t>
      </w:r>
      <w:r>
        <w:rPr>
          <w:rFonts w:ascii="宋体" w:hAnsi="宋体" w:eastAsia="宋体" w:cs="宋体"/>
          <w:spacing w:val="-13"/>
          <w:sz w:val="24"/>
          <w:szCs w:val="24"/>
        </w:rPr>
        <w:t>查</w:t>
      </w:r>
      <w:r>
        <w:rPr>
          <w:rFonts w:ascii="宋体" w:hAnsi="宋体" w:eastAsia="宋体" w:cs="宋体"/>
          <w:spacing w:val="-11"/>
          <w:sz w:val="24"/>
          <w:szCs w:val="24"/>
        </w:rPr>
        <w:t>。</w:t>
      </w:r>
    </w:p>
    <w:p>
      <w:pPr>
        <w:spacing w:before="2" w:line="359" w:lineRule="auto"/>
        <w:ind w:left="125" w:right="36" w:firstLine="478"/>
        <w:rPr>
          <w:rFonts w:ascii="宋体" w:hAnsi="宋体" w:eastAsia="宋体" w:cs="宋体"/>
          <w:sz w:val="24"/>
          <w:szCs w:val="24"/>
        </w:rPr>
      </w:pPr>
      <w:r>
        <w:rPr>
          <w:rFonts w:ascii="宋体" w:hAnsi="宋体" w:eastAsia="宋体" w:cs="宋体"/>
          <w:spacing w:val="-1"/>
          <w:sz w:val="24"/>
          <w:szCs w:val="24"/>
        </w:rPr>
        <w:t>落实情况：施工单位按建设单位的要求制定了防治措施，注意</w:t>
      </w:r>
      <w:r>
        <w:rPr>
          <w:rFonts w:hint="default" w:ascii="宋体" w:hAnsi="宋体" w:eastAsia="宋体" w:cs="宋体"/>
          <w:spacing w:val="-6"/>
          <w:sz w:val="24"/>
          <w:szCs w:val="24"/>
        </w:rPr>
        <w:t>危险废物的暂存及处置工作</w:t>
      </w:r>
      <w:r>
        <w:rPr>
          <w:rFonts w:ascii="宋体" w:hAnsi="宋体" w:eastAsia="宋体" w:cs="宋体"/>
          <w:sz w:val="24"/>
          <w:szCs w:val="24"/>
        </w:rPr>
        <w:t>。</w:t>
      </w:r>
      <w:r>
        <w:rPr>
          <w:rFonts w:ascii="宋体" w:hAnsi="宋体" w:eastAsia="宋体" w:cs="宋体"/>
          <w:spacing w:val="-2"/>
          <w:sz w:val="24"/>
          <w:szCs w:val="24"/>
        </w:rPr>
        <w:t>建设单位委派专人负责监督落实，检</w:t>
      </w:r>
      <w:r>
        <w:rPr>
          <w:rFonts w:ascii="宋体" w:hAnsi="宋体" w:eastAsia="宋体" w:cs="宋体"/>
          <w:sz w:val="24"/>
          <w:szCs w:val="24"/>
        </w:rPr>
        <w:t>查。</w:t>
      </w:r>
    </w:p>
    <w:p>
      <w:pPr>
        <w:spacing w:line="219" w:lineRule="auto"/>
        <w:ind w:left="607"/>
        <w:outlineLvl w:val="1"/>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2、</w:t>
      </w:r>
      <w:r>
        <w:rPr>
          <w:rFonts w:ascii="宋体" w:hAnsi="宋体" w:eastAsia="宋体" w:cs="宋体"/>
          <w:sz w:val="24"/>
          <w:szCs w:val="24"/>
          <w14:textOutline w14:w="4354" w14:cap="flat" w14:cmpd="sng">
            <w14:solidFill>
              <w14:srgbClr w14:val="000000"/>
            </w14:solidFill>
            <w14:prstDash w14:val="solid"/>
            <w14:miter w14:val="0"/>
          </w14:textOutline>
        </w:rPr>
        <w:t>运行期的环境管理和监督</w:t>
      </w:r>
    </w:p>
    <w:p>
      <w:pPr>
        <w:spacing w:before="103" w:line="368" w:lineRule="auto"/>
        <w:ind w:left="122" w:right="50" w:firstLine="480"/>
        <w:rPr>
          <w:rFonts w:ascii="宋体" w:hAnsi="宋体" w:eastAsia="宋体" w:cs="宋体"/>
          <w:sz w:val="24"/>
          <w:szCs w:val="24"/>
        </w:rPr>
      </w:pPr>
      <w:r>
        <w:rPr>
          <w:rFonts w:ascii="宋体" w:hAnsi="宋体" w:eastAsia="宋体" w:cs="宋体"/>
          <w:spacing w:val="-22"/>
          <w:sz w:val="24"/>
          <w:szCs w:val="24"/>
        </w:rPr>
        <w:t>要</w:t>
      </w:r>
      <w:r>
        <w:rPr>
          <w:rFonts w:ascii="宋体" w:hAnsi="宋体" w:eastAsia="宋体" w:cs="宋体"/>
          <w:spacing w:val="-15"/>
          <w:sz w:val="24"/>
          <w:szCs w:val="24"/>
        </w:rPr>
        <w:t>求</w:t>
      </w:r>
      <w:r>
        <w:rPr>
          <w:rFonts w:ascii="宋体" w:hAnsi="宋体" w:eastAsia="宋体" w:cs="宋体"/>
          <w:spacing w:val="-11"/>
          <w:sz w:val="24"/>
          <w:szCs w:val="24"/>
        </w:rPr>
        <w:t>：根据工程所在区域的环境特点，必须在运行主管单位设环境管理部门，</w:t>
      </w:r>
      <w:r>
        <w:rPr>
          <w:rFonts w:ascii="宋体" w:hAnsi="宋体" w:eastAsia="宋体" w:cs="宋体"/>
          <w:spacing w:val="-6"/>
          <w:sz w:val="24"/>
          <w:szCs w:val="24"/>
        </w:rPr>
        <w:t>配备</w:t>
      </w:r>
      <w:r>
        <w:rPr>
          <w:rFonts w:ascii="宋体" w:hAnsi="宋体" w:eastAsia="宋体" w:cs="宋体"/>
          <w:spacing w:val="-3"/>
          <w:sz w:val="24"/>
          <w:szCs w:val="24"/>
        </w:rPr>
        <w:t>相应的专业管理人员不少于</w:t>
      </w:r>
      <w:r>
        <w:rPr>
          <w:rFonts w:ascii="Calibri" w:hAnsi="Calibri" w:eastAsia="Calibri" w:cs="Calibri"/>
          <w:spacing w:val="-3"/>
          <w:sz w:val="24"/>
          <w:szCs w:val="24"/>
        </w:rPr>
        <w:t>1</w:t>
      </w:r>
      <w:r>
        <w:rPr>
          <w:rFonts w:ascii="宋体" w:hAnsi="宋体" w:eastAsia="宋体" w:cs="宋体"/>
          <w:spacing w:val="-3"/>
          <w:sz w:val="24"/>
          <w:szCs w:val="24"/>
        </w:rPr>
        <w:t>人。</w:t>
      </w:r>
    </w:p>
    <w:p>
      <w:pPr>
        <w:spacing w:before="56" w:line="360" w:lineRule="auto"/>
        <w:ind w:left="138" w:right="55" w:firstLine="465"/>
        <w:rPr>
          <w:rFonts w:ascii="宋体" w:hAnsi="宋体" w:eastAsia="宋体" w:cs="宋体"/>
          <w:sz w:val="24"/>
          <w:szCs w:val="24"/>
        </w:rPr>
      </w:pPr>
      <w:r>
        <w:rPr>
          <w:rFonts w:ascii="宋体" w:hAnsi="宋体" w:eastAsia="宋体" w:cs="宋体"/>
          <w:spacing w:val="-12"/>
          <w:sz w:val="24"/>
          <w:szCs w:val="24"/>
        </w:rPr>
        <w:t>落实情</w:t>
      </w:r>
      <w:r>
        <w:rPr>
          <w:rFonts w:ascii="宋体" w:hAnsi="宋体" w:eastAsia="宋体" w:cs="宋体"/>
          <w:spacing w:val="-8"/>
          <w:sz w:val="24"/>
          <w:szCs w:val="24"/>
        </w:rPr>
        <w:t>况</w:t>
      </w:r>
      <w:r>
        <w:rPr>
          <w:rFonts w:ascii="宋体" w:hAnsi="宋体" w:eastAsia="宋体" w:cs="宋体"/>
          <w:spacing w:val="-6"/>
          <w:sz w:val="24"/>
          <w:szCs w:val="24"/>
        </w:rPr>
        <w:t>：本项目施工期环境管理工作由建设单位——</w:t>
      </w:r>
      <w:r>
        <w:rPr>
          <w:rFonts w:ascii="宋体" w:hAnsi="宋体" w:eastAsia="宋体" w:cs="宋体"/>
          <w:snapToGrid w:val="0"/>
          <w:color w:val="000000"/>
          <w:spacing w:val="-6"/>
          <w:kern w:val="0"/>
          <w:sz w:val="24"/>
          <w:szCs w:val="24"/>
        </w:rPr>
        <w:t>冀东水泥阿巴嘎旗有限责任公司</w:t>
      </w:r>
      <w:r>
        <w:rPr>
          <w:rFonts w:ascii="宋体" w:hAnsi="宋体" w:eastAsia="宋体" w:cs="宋体"/>
          <w:spacing w:val="-2"/>
          <w:sz w:val="24"/>
          <w:szCs w:val="24"/>
        </w:rPr>
        <w:t>负责，公司成立工程部，负责环境管理，负责工程的</w:t>
      </w:r>
      <w:r>
        <w:rPr>
          <w:rFonts w:ascii="宋体" w:hAnsi="宋体" w:eastAsia="宋体" w:cs="宋体"/>
          <w:spacing w:val="-1"/>
          <w:sz w:val="24"/>
          <w:szCs w:val="24"/>
        </w:rPr>
        <w:t>日常环境管理工作；</w:t>
      </w:r>
    </w:p>
    <w:p>
      <w:pPr>
        <w:spacing w:line="220" w:lineRule="auto"/>
        <w:ind w:left="607"/>
        <w:outlineLvl w:val="1"/>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2、</w:t>
      </w:r>
      <w:r>
        <w:rPr>
          <w:rFonts w:ascii="宋体" w:hAnsi="宋体" w:eastAsia="宋体" w:cs="宋体"/>
          <w:spacing w:val="-1"/>
          <w:sz w:val="24"/>
          <w:szCs w:val="24"/>
          <w14:textOutline w14:w="4354" w14:cap="flat" w14:cmpd="sng">
            <w14:solidFill>
              <w14:srgbClr w14:val="000000"/>
            </w14:solidFill>
            <w14:prstDash w14:val="solid"/>
            <w14:miter w14:val="0"/>
          </w14:textOutline>
        </w:rPr>
        <w:t>环境监测</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eastAsia="宋体" w:cs="Times New Roman"/>
          <w:b/>
          <w:bCs/>
          <w:sz w:val="21"/>
          <w:szCs w:val="21"/>
          <w:lang w:eastAsia="en-US"/>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eastAsia="宋体" w:cs="Times New Roman"/>
          <w:b/>
          <w:bCs/>
          <w:sz w:val="21"/>
          <w:szCs w:val="21"/>
          <w:lang w:eastAsia="en-US"/>
        </w:rPr>
      </w:pPr>
      <w:r>
        <w:rPr>
          <w:rFonts w:eastAsia="宋体" w:cs="Times New Roman"/>
          <w:b/>
          <w:bCs/>
          <w:sz w:val="21"/>
          <w:szCs w:val="21"/>
          <w:lang w:eastAsia="en-US"/>
        </w:rPr>
        <w:t>监测项目与监测方法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4"/>
        <w:gridCol w:w="1222"/>
        <w:gridCol w:w="2765"/>
        <w:gridCol w:w="1414"/>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tcBorders>
              <w:tl2br w:val="nil"/>
              <w:tr2bl w:val="nil"/>
            </w:tcBorders>
            <w:vAlign w:val="center"/>
          </w:tcPr>
          <w:p>
            <w:pPr>
              <w:spacing w:line="240" w:lineRule="auto"/>
              <w:ind w:firstLine="0" w:firstLineChars="0"/>
              <w:jc w:val="center"/>
              <w:rPr>
                <w:rFonts w:eastAsia="宋体" w:cs="Times New Roman"/>
                <w:b/>
                <w:sz w:val="21"/>
                <w:szCs w:val="21"/>
              </w:rPr>
            </w:pPr>
            <w:r>
              <w:rPr>
                <w:rFonts w:eastAsia="宋体" w:cs="Times New Roman"/>
                <w:b/>
                <w:sz w:val="21"/>
                <w:szCs w:val="21"/>
              </w:rPr>
              <w:t>序号</w:t>
            </w:r>
          </w:p>
        </w:tc>
        <w:tc>
          <w:tcPr>
            <w:tcW w:w="1222" w:type="dxa"/>
            <w:tcBorders>
              <w:tl2br w:val="nil"/>
              <w:tr2bl w:val="nil"/>
            </w:tcBorders>
            <w:vAlign w:val="center"/>
          </w:tcPr>
          <w:p>
            <w:pPr>
              <w:spacing w:line="240" w:lineRule="auto"/>
              <w:ind w:firstLine="0" w:firstLineChars="0"/>
              <w:jc w:val="center"/>
              <w:rPr>
                <w:rFonts w:eastAsia="宋体" w:cs="Times New Roman"/>
                <w:b/>
                <w:sz w:val="21"/>
                <w:szCs w:val="21"/>
              </w:rPr>
            </w:pPr>
            <w:r>
              <w:rPr>
                <w:rFonts w:eastAsia="宋体" w:cs="Times New Roman"/>
                <w:b/>
                <w:sz w:val="21"/>
                <w:szCs w:val="21"/>
              </w:rPr>
              <w:t>项目</w:t>
            </w:r>
          </w:p>
        </w:tc>
        <w:tc>
          <w:tcPr>
            <w:tcW w:w="2765" w:type="dxa"/>
            <w:tcBorders>
              <w:tl2br w:val="nil"/>
              <w:tr2bl w:val="nil"/>
            </w:tcBorders>
            <w:vAlign w:val="center"/>
          </w:tcPr>
          <w:p>
            <w:pPr>
              <w:spacing w:line="240" w:lineRule="auto"/>
              <w:ind w:firstLine="0" w:firstLineChars="0"/>
              <w:jc w:val="center"/>
              <w:rPr>
                <w:rFonts w:eastAsia="宋体" w:cs="Times New Roman"/>
                <w:b/>
                <w:sz w:val="21"/>
                <w:szCs w:val="21"/>
              </w:rPr>
            </w:pPr>
            <w:r>
              <w:rPr>
                <w:rFonts w:eastAsia="宋体" w:cs="Times New Roman"/>
                <w:b/>
                <w:sz w:val="21"/>
                <w:szCs w:val="21"/>
              </w:rPr>
              <w:t>测定方法</w:t>
            </w:r>
          </w:p>
        </w:tc>
        <w:tc>
          <w:tcPr>
            <w:tcW w:w="1414" w:type="dxa"/>
            <w:tcBorders>
              <w:tl2br w:val="nil"/>
              <w:tr2bl w:val="nil"/>
            </w:tcBorders>
            <w:vAlign w:val="center"/>
          </w:tcPr>
          <w:p>
            <w:pPr>
              <w:spacing w:line="240" w:lineRule="auto"/>
              <w:ind w:firstLine="0" w:firstLineChars="0"/>
              <w:jc w:val="center"/>
              <w:rPr>
                <w:rFonts w:eastAsia="宋体" w:cs="Times New Roman"/>
                <w:b/>
                <w:sz w:val="21"/>
                <w:szCs w:val="21"/>
              </w:rPr>
            </w:pPr>
            <w:r>
              <w:rPr>
                <w:rFonts w:eastAsia="宋体" w:cs="Times New Roman"/>
                <w:b/>
                <w:sz w:val="21"/>
                <w:szCs w:val="21"/>
              </w:rPr>
              <w:t>方法来源</w:t>
            </w:r>
          </w:p>
        </w:tc>
        <w:tc>
          <w:tcPr>
            <w:tcW w:w="1975" w:type="dxa"/>
            <w:tcBorders>
              <w:tl2br w:val="nil"/>
              <w:tr2bl w:val="nil"/>
            </w:tcBorders>
            <w:vAlign w:val="center"/>
          </w:tcPr>
          <w:p>
            <w:pPr>
              <w:spacing w:line="240" w:lineRule="auto"/>
              <w:ind w:firstLine="0" w:firstLineChars="0"/>
              <w:jc w:val="center"/>
              <w:rPr>
                <w:rFonts w:eastAsia="宋体" w:cs="Times New Roman"/>
                <w:b/>
                <w:sz w:val="21"/>
                <w:szCs w:val="21"/>
              </w:rPr>
            </w:pPr>
            <w:r>
              <w:rPr>
                <w:rFonts w:eastAsia="宋体" w:cs="Times New Roman"/>
                <w:b/>
                <w:sz w:val="21"/>
                <w:szCs w:val="21"/>
              </w:rPr>
              <w:t>使用仪器及编号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tcBorders>
              <w:tl2br w:val="nil"/>
              <w:tr2bl w:val="nil"/>
            </w:tcBorders>
            <w:vAlign w:val="center"/>
          </w:tcPr>
          <w:p>
            <w:pPr>
              <w:spacing w:line="240" w:lineRule="auto"/>
              <w:ind w:firstLine="0" w:firstLineChars="0"/>
              <w:jc w:val="center"/>
              <w:rPr>
                <w:rFonts w:eastAsia="宋体" w:cs="Times New Roman"/>
                <w:kern w:val="0"/>
                <w:sz w:val="21"/>
                <w:szCs w:val="21"/>
                <w:lang w:eastAsia="en-US"/>
              </w:rPr>
            </w:pPr>
            <w:r>
              <w:rPr>
                <w:rFonts w:eastAsia="宋体" w:cs="Times New Roman"/>
                <w:kern w:val="0"/>
                <w:sz w:val="21"/>
                <w:szCs w:val="21"/>
                <w:lang w:eastAsia="en-US"/>
              </w:rPr>
              <w:t>1</w:t>
            </w:r>
          </w:p>
        </w:tc>
        <w:tc>
          <w:tcPr>
            <w:tcW w:w="1222" w:type="dxa"/>
            <w:tcBorders>
              <w:tl2br w:val="nil"/>
              <w:tr2bl w:val="nil"/>
            </w:tcBorders>
            <w:vAlign w:val="center"/>
          </w:tcPr>
          <w:p>
            <w:pPr>
              <w:pStyle w:val="13"/>
              <w:rPr>
                <w:lang w:eastAsia="en-US"/>
              </w:rPr>
            </w:pPr>
            <w:r>
              <w:rPr>
                <w:lang w:eastAsia="en-US"/>
              </w:rPr>
              <w:t>硫酸（硫酸雾）</w:t>
            </w:r>
          </w:p>
        </w:tc>
        <w:tc>
          <w:tcPr>
            <w:tcW w:w="2765" w:type="dxa"/>
            <w:tcBorders>
              <w:tl2br w:val="nil"/>
              <w:tr2bl w:val="nil"/>
            </w:tcBorders>
            <w:vAlign w:val="center"/>
          </w:tcPr>
          <w:p>
            <w:pPr>
              <w:pStyle w:val="13"/>
            </w:pPr>
            <w:r>
              <w:t>固定污染源废气硫酸雾的测定离子色谱法</w:t>
            </w:r>
          </w:p>
        </w:tc>
        <w:tc>
          <w:tcPr>
            <w:tcW w:w="1414" w:type="dxa"/>
            <w:tcBorders>
              <w:tl2br w:val="nil"/>
              <w:tr2bl w:val="nil"/>
            </w:tcBorders>
            <w:vAlign w:val="center"/>
          </w:tcPr>
          <w:p>
            <w:pPr>
              <w:pStyle w:val="13"/>
              <w:rPr>
                <w:lang w:eastAsia="en-US"/>
              </w:rPr>
            </w:pPr>
            <w:r>
              <w:rPr>
                <w:lang w:eastAsia="en-US"/>
              </w:rPr>
              <w:t>HJ544-2016</w:t>
            </w:r>
          </w:p>
        </w:tc>
        <w:tc>
          <w:tcPr>
            <w:tcW w:w="1975" w:type="dxa"/>
            <w:tcBorders>
              <w:tl2br w:val="nil"/>
              <w:tr2bl w:val="nil"/>
            </w:tcBorders>
            <w:vAlign w:val="center"/>
          </w:tcPr>
          <w:p>
            <w:pPr>
              <w:pStyle w:val="13"/>
              <w:rPr>
                <w:lang w:eastAsia="en-US"/>
              </w:rPr>
            </w:pPr>
            <w:r>
              <w:rPr>
                <w:lang w:eastAsia="en-US"/>
              </w:rPr>
              <w:t>CIC-D100离子色谱仪D1020S382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tcBorders>
              <w:tl2br w:val="nil"/>
              <w:tr2bl w:val="nil"/>
            </w:tcBorders>
            <w:vAlign w:val="center"/>
          </w:tcPr>
          <w:p>
            <w:pPr>
              <w:spacing w:line="240" w:lineRule="auto"/>
              <w:ind w:firstLine="0" w:firstLineChars="0"/>
              <w:jc w:val="center"/>
              <w:rPr>
                <w:rFonts w:eastAsia="宋体" w:cs="Times New Roman"/>
                <w:kern w:val="0"/>
                <w:sz w:val="21"/>
                <w:szCs w:val="21"/>
                <w:lang w:eastAsia="en-US"/>
              </w:rPr>
            </w:pPr>
            <w:r>
              <w:rPr>
                <w:rFonts w:eastAsia="宋体" w:cs="Times New Roman"/>
                <w:kern w:val="0"/>
                <w:sz w:val="21"/>
                <w:szCs w:val="21"/>
                <w:lang w:eastAsia="en-US"/>
              </w:rPr>
              <w:t>2</w:t>
            </w:r>
          </w:p>
        </w:tc>
        <w:tc>
          <w:tcPr>
            <w:tcW w:w="1222" w:type="dxa"/>
            <w:tcBorders>
              <w:tl2br w:val="nil"/>
              <w:tr2bl w:val="nil"/>
            </w:tcBorders>
            <w:vAlign w:val="center"/>
          </w:tcPr>
          <w:p>
            <w:pPr>
              <w:pStyle w:val="13"/>
              <w:rPr>
                <w:lang w:eastAsia="en-US"/>
              </w:rPr>
            </w:pPr>
            <w:r>
              <w:rPr>
                <w:lang w:eastAsia="en-US"/>
              </w:rPr>
              <w:t>非甲烷总烃</w:t>
            </w:r>
          </w:p>
        </w:tc>
        <w:tc>
          <w:tcPr>
            <w:tcW w:w="2765" w:type="dxa"/>
            <w:tcBorders>
              <w:tl2br w:val="nil"/>
              <w:tr2bl w:val="nil"/>
            </w:tcBorders>
            <w:vAlign w:val="center"/>
          </w:tcPr>
          <w:p>
            <w:pPr>
              <w:pStyle w:val="13"/>
            </w:pPr>
            <w:r>
              <w:t>环境空气总烃、甲烷和非甲烷总烃的测定直接进样-气相色谱法</w:t>
            </w:r>
          </w:p>
        </w:tc>
        <w:tc>
          <w:tcPr>
            <w:tcW w:w="1414" w:type="dxa"/>
            <w:tcBorders>
              <w:tl2br w:val="nil"/>
              <w:tr2bl w:val="nil"/>
            </w:tcBorders>
            <w:vAlign w:val="center"/>
          </w:tcPr>
          <w:p>
            <w:pPr>
              <w:pStyle w:val="13"/>
              <w:rPr>
                <w:lang w:eastAsia="en-US"/>
              </w:rPr>
            </w:pPr>
            <w:r>
              <w:rPr>
                <w:lang w:eastAsia="en-US"/>
              </w:rPr>
              <w:t>HJ604-2017</w:t>
            </w:r>
          </w:p>
        </w:tc>
        <w:tc>
          <w:tcPr>
            <w:tcW w:w="1975" w:type="dxa"/>
            <w:tcBorders>
              <w:tl2br w:val="nil"/>
              <w:tr2bl w:val="nil"/>
            </w:tcBorders>
            <w:vAlign w:val="center"/>
          </w:tcPr>
          <w:p>
            <w:pPr>
              <w:pStyle w:val="13"/>
              <w:rPr>
                <w:lang w:eastAsia="en-US"/>
              </w:rPr>
            </w:pPr>
            <w:r>
              <w:rPr>
                <w:lang w:eastAsia="en-US"/>
              </w:rPr>
              <w:t>V5000气相色谱仪</w:t>
            </w:r>
          </w:p>
          <w:p>
            <w:pPr>
              <w:pStyle w:val="13"/>
              <w:rPr>
                <w:lang w:eastAsia="en-US"/>
              </w:rPr>
            </w:pPr>
            <w:r>
              <w:rPr>
                <w:lang w:eastAsia="en-US"/>
              </w:rPr>
              <w:t>200785003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tcBorders>
              <w:tl2br w:val="nil"/>
              <w:tr2bl w:val="nil"/>
            </w:tcBorders>
            <w:vAlign w:val="center"/>
          </w:tcPr>
          <w:p>
            <w:pPr>
              <w:spacing w:line="240" w:lineRule="auto"/>
              <w:ind w:firstLine="0" w:firstLineChars="0"/>
              <w:jc w:val="center"/>
              <w:rPr>
                <w:rFonts w:eastAsia="宋体" w:cs="Times New Roman"/>
                <w:kern w:val="0"/>
                <w:sz w:val="21"/>
                <w:szCs w:val="21"/>
                <w:lang w:eastAsia="en-US"/>
              </w:rPr>
            </w:pPr>
            <w:r>
              <w:rPr>
                <w:rFonts w:eastAsia="宋体" w:cs="Times New Roman"/>
                <w:kern w:val="0"/>
                <w:sz w:val="21"/>
                <w:szCs w:val="21"/>
                <w:lang w:eastAsia="en-US"/>
              </w:rPr>
              <w:t>3</w:t>
            </w:r>
          </w:p>
        </w:tc>
        <w:tc>
          <w:tcPr>
            <w:tcW w:w="1222" w:type="dxa"/>
            <w:tcBorders>
              <w:tl2br w:val="nil"/>
              <w:tr2bl w:val="nil"/>
            </w:tcBorders>
            <w:vAlign w:val="center"/>
          </w:tcPr>
          <w:p>
            <w:pPr>
              <w:pStyle w:val="13"/>
              <w:rPr>
                <w:lang w:eastAsia="en-US"/>
              </w:rPr>
            </w:pPr>
            <w:r>
              <w:rPr>
                <w:lang w:eastAsia="en-US"/>
              </w:rPr>
              <w:t>甲苯、二甲苯</w:t>
            </w:r>
          </w:p>
        </w:tc>
        <w:tc>
          <w:tcPr>
            <w:tcW w:w="2765" w:type="dxa"/>
            <w:tcBorders>
              <w:tl2br w:val="nil"/>
              <w:tr2bl w:val="nil"/>
            </w:tcBorders>
            <w:vAlign w:val="center"/>
          </w:tcPr>
          <w:p>
            <w:pPr>
              <w:pStyle w:val="13"/>
            </w:pPr>
            <w:r>
              <w:t>环境空气苯系物的测定固体吸附/热脱附-气相色谱法</w:t>
            </w:r>
          </w:p>
        </w:tc>
        <w:tc>
          <w:tcPr>
            <w:tcW w:w="1414" w:type="dxa"/>
            <w:tcBorders>
              <w:tl2br w:val="nil"/>
              <w:tr2bl w:val="nil"/>
            </w:tcBorders>
            <w:vAlign w:val="center"/>
          </w:tcPr>
          <w:p>
            <w:pPr>
              <w:pStyle w:val="13"/>
              <w:rPr>
                <w:lang w:eastAsia="en-US"/>
              </w:rPr>
            </w:pPr>
            <w:r>
              <w:rPr>
                <w:lang w:eastAsia="en-US"/>
              </w:rPr>
              <w:t>HJ583-2010</w:t>
            </w:r>
          </w:p>
        </w:tc>
        <w:tc>
          <w:tcPr>
            <w:tcW w:w="1975" w:type="dxa"/>
            <w:tcBorders>
              <w:tl2br w:val="nil"/>
              <w:tr2bl w:val="nil"/>
            </w:tcBorders>
            <w:vAlign w:val="center"/>
          </w:tcPr>
          <w:p>
            <w:pPr>
              <w:pStyle w:val="13"/>
              <w:rPr>
                <w:lang w:eastAsia="en-US"/>
              </w:rPr>
            </w:pPr>
            <w:r>
              <w:rPr>
                <w:lang w:eastAsia="en-US"/>
              </w:rPr>
              <w:t>GC-9790气相色谱仪9790017604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tcBorders>
              <w:tl2br w:val="nil"/>
              <w:tr2bl w:val="nil"/>
            </w:tcBorders>
            <w:vAlign w:val="center"/>
          </w:tcPr>
          <w:p>
            <w:pPr>
              <w:spacing w:line="240" w:lineRule="auto"/>
              <w:ind w:firstLine="0" w:firstLineChars="0"/>
              <w:jc w:val="center"/>
              <w:rPr>
                <w:rFonts w:eastAsia="宋体" w:cs="Times New Roman"/>
                <w:kern w:val="0"/>
                <w:sz w:val="21"/>
                <w:szCs w:val="21"/>
                <w:lang w:eastAsia="en-US"/>
              </w:rPr>
            </w:pPr>
            <w:r>
              <w:rPr>
                <w:rFonts w:eastAsia="宋体" w:cs="Times New Roman"/>
                <w:kern w:val="0"/>
                <w:sz w:val="21"/>
                <w:szCs w:val="21"/>
                <w:lang w:eastAsia="en-US"/>
              </w:rPr>
              <w:t>4</w:t>
            </w:r>
          </w:p>
        </w:tc>
        <w:tc>
          <w:tcPr>
            <w:tcW w:w="1222" w:type="dxa"/>
            <w:tcBorders>
              <w:tl2br w:val="nil"/>
              <w:tr2bl w:val="nil"/>
            </w:tcBorders>
            <w:vAlign w:val="center"/>
          </w:tcPr>
          <w:p>
            <w:pPr>
              <w:pStyle w:val="13"/>
              <w:rPr>
                <w:lang w:eastAsia="en-US"/>
              </w:rPr>
            </w:pPr>
            <w:r>
              <w:rPr>
                <w:lang w:eastAsia="en-US"/>
              </w:rPr>
              <w:t>HCl</w:t>
            </w:r>
          </w:p>
        </w:tc>
        <w:tc>
          <w:tcPr>
            <w:tcW w:w="2765" w:type="dxa"/>
            <w:tcBorders>
              <w:tl2br w:val="nil"/>
              <w:tr2bl w:val="nil"/>
            </w:tcBorders>
            <w:vAlign w:val="center"/>
          </w:tcPr>
          <w:p>
            <w:pPr>
              <w:pStyle w:val="13"/>
            </w:pPr>
            <w:r>
              <w:t>环境空气和废气氯化氢的测定离子色谱法</w:t>
            </w:r>
          </w:p>
        </w:tc>
        <w:tc>
          <w:tcPr>
            <w:tcW w:w="1414" w:type="dxa"/>
            <w:tcBorders>
              <w:tl2br w:val="nil"/>
              <w:tr2bl w:val="nil"/>
            </w:tcBorders>
            <w:vAlign w:val="center"/>
          </w:tcPr>
          <w:p>
            <w:pPr>
              <w:pStyle w:val="13"/>
              <w:rPr>
                <w:lang w:eastAsia="en-US"/>
              </w:rPr>
            </w:pPr>
            <w:r>
              <w:rPr>
                <w:lang w:eastAsia="en-US"/>
              </w:rPr>
              <w:t>HJ549-2016</w:t>
            </w:r>
          </w:p>
        </w:tc>
        <w:tc>
          <w:tcPr>
            <w:tcW w:w="1975" w:type="dxa"/>
            <w:tcBorders>
              <w:tl2br w:val="nil"/>
              <w:tr2bl w:val="nil"/>
            </w:tcBorders>
            <w:vAlign w:val="center"/>
          </w:tcPr>
          <w:p>
            <w:pPr>
              <w:pStyle w:val="13"/>
              <w:rPr>
                <w:lang w:eastAsia="en-US"/>
              </w:rPr>
            </w:pPr>
            <w:r>
              <w:rPr>
                <w:lang w:eastAsia="en-US"/>
              </w:rPr>
              <w:t>CIC-D100离子色谱仪D1020S382</w:t>
            </w:r>
          </w:p>
        </w:tc>
      </w:tr>
    </w:tbl>
    <w:p>
      <w:pPr>
        <w:spacing w:line="94" w:lineRule="auto"/>
        <w:rPr>
          <w:rFonts w:ascii="Arial"/>
          <w:sz w:val="2"/>
        </w:rPr>
      </w:pPr>
    </w:p>
    <w:p>
      <w:pPr>
        <w:spacing w:before="190" w:line="364" w:lineRule="auto"/>
        <w:ind w:left="121" w:right="116" w:firstLine="481"/>
        <w:rPr>
          <w:rFonts w:ascii="宋体" w:hAnsi="宋体" w:eastAsia="宋体" w:cs="宋体"/>
          <w:spacing w:val="-6"/>
          <w:sz w:val="24"/>
          <w:szCs w:val="24"/>
        </w:rPr>
      </w:pPr>
      <w:r>
        <w:rPr>
          <w:rFonts w:ascii="宋体" w:hAnsi="宋体" w:eastAsia="宋体" w:cs="宋体"/>
          <w:spacing w:val="-6"/>
          <w:sz w:val="24"/>
          <w:szCs w:val="24"/>
        </w:rPr>
        <w:t>落实情况：本项目的竣工验收监测由博思百睿检测评价技术服务有限公司完成，并出具了监测报告。本项目为危险废物暂存间建设项目，危险废物暂存间试运行和监测期间暂存的危险废物有废油桶、废矿物油、废漆桶、废电池。</w:t>
      </w:r>
      <w:r>
        <w:rPr>
          <w:rFonts w:hint="default" w:ascii="宋体" w:hAnsi="宋体" w:eastAsia="宋体" w:cs="宋体"/>
          <w:spacing w:val="-6"/>
          <w:sz w:val="24"/>
          <w:szCs w:val="24"/>
        </w:rPr>
        <w:t>按照国家技术规范要求做好项目危险废物的暂存及处置工作。</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outlineLvl w:val="6"/>
        <w:rPr>
          <w:rFonts w:ascii="宋体" w:hAnsi="宋体" w:eastAsia="宋体" w:cs="宋体"/>
          <w:sz w:val="31"/>
          <w:szCs w:val="31"/>
        </w:rPr>
      </w:pPr>
      <w:r>
        <w:rPr>
          <w:rFonts w:ascii="Calibri" w:hAnsi="Calibri" w:eastAsia="Calibri" w:cs="Calibri"/>
          <w:b/>
          <w:bCs/>
          <w:spacing w:val="-1"/>
          <w:sz w:val="31"/>
          <w:szCs w:val="31"/>
        </w:rPr>
        <w:t>3</w:t>
      </w:r>
      <w:r>
        <w:rPr>
          <w:rFonts w:ascii="宋体" w:hAnsi="宋体" w:eastAsia="宋体" w:cs="宋体"/>
          <w:sz w:val="31"/>
          <w:szCs w:val="31"/>
          <w14:textOutline w14:w="5791" w14:cap="flat" w14:cmpd="sng">
            <w14:solidFill>
              <w14:srgbClr w14:val="000000"/>
            </w14:solidFill>
            <w14:prstDash w14:val="solid"/>
            <w14:miter w14:val="0"/>
          </w14:textOutline>
        </w:rPr>
        <w:t>、整改工作情况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6" w:firstLineChars="200"/>
        <w:jc w:val="both"/>
        <w:textAlignment w:val="baseline"/>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项目施工期和运营期将不可避免地会对环境造成一定的影响，建设单位必须严格遵守环保“三同时”的管理规定及竣工验收要求，完成报建手续，确保各项环保措施的落实。项目建成后，加强环境管理，确保环保设施的正常运转及污染物达标排放。</w:t>
      </w:r>
      <w:r>
        <w:rPr>
          <w:rFonts w:hint="eastAsia" w:ascii="宋体" w:hAnsi="宋体" w:eastAsia="宋体" w:cs="宋体"/>
          <w:spacing w:val="-6"/>
          <w:sz w:val="24"/>
          <w:szCs w:val="24"/>
        </w:rPr>
        <w:t>本项目完成后加强项目环境管理工作，按照规范要求完善危废库相关标识及危废管理台账</w:t>
      </w:r>
      <w:r>
        <w:rPr>
          <w:rFonts w:hint="eastAsia" w:ascii="宋体" w:hAnsi="宋体" w:eastAsia="宋体" w:cs="宋体"/>
          <w:spacing w:val="-6"/>
          <w:sz w:val="24"/>
          <w:szCs w:val="24"/>
          <w:lang w:eastAsia="zh-CN"/>
        </w:rPr>
        <w:t>。</w:t>
      </w:r>
    </w:p>
    <w:sectPr>
      <w:footerReference r:id="rId5" w:type="default"/>
      <w:pgSz w:w="11907" w:h="16839"/>
      <w:pgMar w:top="1431" w:right="1685" w:bottom="1150" w:left="1687" w:header="0" w:footer="98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29"/>
      <w:rPr>
        <w:rFonts w:ascii="Calibri" w:hAnsi="Calibri" w:eastAsia="Calibri" w:cs="Calibri"/>
        <w:sz w:val="18"/>
        <w:szCs w:val="18"/>
      </w:rPr>
    </w:pPr>
    <w:r>
      <w:rPr>
        <w:rFonts w:ascii="Calibri" w:hAnsi="Calibri" w:eastAsia="Calibri" w:cs="Calibri"/>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jVjNjY4MDI0YzM4Njg0NzliOTk2MjM1MDcyY2RiZWUifQ=="/>
  </w:docVars>
  <w:rsids>
    <w:rsidRoot w:val="00000000"/>
    <w:rsid w:val="08E21B49"/>
    <w:rsid w:val="0B431C50"/>
    <w:rsid w:val="17807DAD"/>
    <w:rsid w:val="37B21366"/>
    <w:rsid w:val="40EB4D37"/>
    <w:rsid w:val="45831566"/>
    <w:rsid w:val="6A9928A3"/>
    <w:rsid w:val="6BAF67DE"/>
    <w:rsid w:val="713260DF"/>
    <w:rsid w:val="747A2881"/>
    <w:rsid w:val="7B910003"/>
    <w:rsid w:val="7E6B04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6">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qFormat/>
    <w:uiPriority w:val="0"/>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spacing w:after="120" w:line="240" w:lineRule="auto"/>
      <w:ind w:left="420" w:leftChars="200" w:firstLine="420"/>
    </w:pPr>
    <w:rPr>
      <w:rFonts w:hAnsi="宋体"/>
      <w:b/>
      <w:bCs/>
      <w:szCs w:val="32"/>
    </w:rPr>
  </w:style>
  <w:style w:type="paragraph" w:styleId="3">
    <w:name w:val="Body Text Indent"/>
    <w:basedOn w:val="1"/>
    <w:qFormat/>
    <w:uiPriority w:val="0"/>
    <w:pPr>
      <w:ind w:firstLine="435"/>
    </w:pPr>
    <w:rPr>
      <w:rFonts w:ascii="宋体"/>
    </w:rPr>
  </w:style>
  <w:style w:type="paragraph" w:styleId="7">
    <w:name w:val="Body Text"/>
    <w:basedOn w:val="1"/>
    <w:next w:val="1"/>
    <w:uiPriority w:val="0"/>
    <w:pPr>
      <w:widowControl/>
      <w:snapToGrid w:val="0"/>
      <w:spacing w:before="60" w:after="160" w:line="259" w:lineRule="auto"/>
      <w:ind w:right="113"/>
    </w:pPr>
    <w:rPr>
      <w:kern w:val="0"/>
      <w:sz w:val="18"/>
      <w:szCs w:val="20"/>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
    <w:semiHidden/>
    <w:unhideWhenUsed/>
    <w:qFormat/>
    <w:uiPriority w:val="0"/>
    <w:tblPr>
      <w:tblCellMar>
        <w:top w:w="0" w:type="dxa"/>
        <w:left w:w="0" w:type="dxa"/>
        <w:bottom w:w="0" w:type="dxa"/>
        <w:right w:w="0" w:type="dxa"/>
      </w:tblCellMar>
    </w:tblPr>
  </w:style>
  <w:style w:type="paragraph" w:customStyle="1" w:styleId="12">
    <w:name w:val="Table Paragraph"/>
    <w:basedOn w:val="1"/>
    <w:qFormat/>
    <w:uiPriority w:val="1"/>
  </w:style>
  <w:style w:type="paragraph" w:customStyle="1" w:styleId="13">
    <w:name w:val="C表格文字"/>
    <w:basedOn w:val="14"/>
    <w:qFormat/>
    <w:uiPriority w:val="0"/>
    <w:pPr>
      <w:jc w:val="center"/>
    </w:pPr>
  </w:style>
  <w:style w:type="paragraph" w:styleId="14">
    <w:name w:val="No Spacing"/>
    <w:qFormat/>
    <w:uiPriority w:val="1"/>
    <w:pPr>
      <w:widowControl w:val="0"/>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1421</Words>
  <Characters>1610</Characters>
  <TotalTime>1</TotalTime>
  <ScaleCrop>false</ScaleCrop>
  <LinksUpToDate>false</LinksUpToDate>
  <CharactersWithSpaces>1628</CharactersWithSpaces>
  <Application>WPS Office_11.1.0.12302_F1E327BC-269C-435d-A152-05C5408002CA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2020-09-29T15:07:00Z</dcterms:created>
  <dc:creator>Admin</dc:creator>
  <cp:lastModifiedBy>赵钰婵</cp:lastModifiedBy>
  <dcterms:modified xsi:type="dcterms:W3CDTF">2022-08-16T05:22:41Z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2022-08-16T11:19:43Z</vt:filetime>
  </property>
  <property fmtid="{D5CDD505-2E9C-101B-9397-08002B2CF9AE}" pid="4" name="KSOProductBuildVer">
    <vt:lpwstr>2052-11.1.0.12302</vt:lpwstr>
  </property>
  <property fmtid="{D5CDD505-2E9C-101B-9397-08002B2CF9AE}" pid="5" name="ICV">
    <vt:lpwstr>3C0D480E5BEF4ED2AFB289BC699A237A</vt:lpwstr>
  </property>
</Properties>
</file>